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D64" w:rsidRPr="00D34EC5" w:rsidP="009F1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64" w:rsidRPr="007B7B4A" w:rsidP="009F1D6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7B7B4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375-2102/2024</w:t>
      </w:r>
    </w:p>
    <w:p w:rsidR="009F1D64" w:rsidRPr="007B7B4A" w:rsidP="009F1D6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B7B4A">
        <w:rPr>
          <w:rFonts w:ascii="Times New Roman" w:hAnsi="Times New Roman" w:cs="Times New Roman"/>
          <w:b/>
          <w:bCs/>
        </w:rPr>
        <w:t>86MS0042-01-2024-001466-63</w:t>
      </w:r>
    </w:p>
    <w:p w:rsidR="009F1D64" w:rsidRPr="00D34EC5" w:rsidP="009F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F1D64" w:rsidRPr="00D34EC5" w:rsidP="009F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64" w:rsidRPr="00D34EC5" w:rsidP="007B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 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9F1D64" w:rsidRPr="00D34EC5" w:rsidP="009F1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Нижневартовска Ханты-Мансийского автономного округа - Югры Вдовина О.В., находящийся по адресу: ХМАО – Югра, г. Нижневартовск, ул. Нефтяников, 6, 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9F1D64" w:rsidRPr="0058014D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Савюк Сергея Анатольевича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2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552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E552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F1D64" w:rsidRPr="00D34EC5" w:rsidP="009F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1D64" w:rsidRPr="00D34EC5" w:rsidP="009F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Савюк С.А., 24.02.2024 года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15:10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12Б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ул. Мира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гранта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E552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перекрестке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образованном четырьмя пересечениями проезжих частей,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маневра  разворота выехал на полосу, предна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значенную для встречного движения, в нарушение п. 8.6 Правил дорожного движения РФ.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7B7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правонарушении </w:t>
      </w:r>
      <w:r w:rsidR="007B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Савюк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извещен надлежащим образом. </w:t>
      </w:r>
    </w:p>
    <w:p w:rsidR="009F1D64" w:rsidRPr="00D34EC5" w:rsidP="009F1D64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исследовал письменные доказательства по делу:</w:t>
      </w:r>
    </w:p>
    <w:p w:rsidR="009F1D64" w:rsidRPr="00D34EC5" w:rsidP="009F1D64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579329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="007B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Савюк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последне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 и объяснений не указал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64" w:rsidRPr="00D34EC5" w:rsidP="009F1D64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обстоятельства, изложенные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 об административном правонарушении;</w:t>
      </w:r>
    </w:p>
    <w:p w:rsidR="009F1D64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гранта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E552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маневр разворота таки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образом, что 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D64" w:rsidRPr="004964FB" w:rsidP="009F1D64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>перекрестка,</w:t>
      </w:r>
      <w:r w:rsidRPr="00EF47EF">
        <w:rPr>
          <w:szCs w:val="28"/>
        </w:rPr>
        <w:t xml:space="preserve"> </w:t>
      </w:r>
      <w:r>
        <w:rPr>
          <w:szCs w:val="28"/>
        </w:rPr>
        <w:t xml:space="preserve">образованного четырьмя пересечениями проезжих частей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</w:t>
      </w:r>
      <w:r w:rsidRPr="00D34EC5">
        <w:rPr>
          <w:szCs w:val="28"/>
        </w:rPr>
        <w:t>д.</w:t>
      </w:r>
      <w:r>
        <w:rPr>
          <w:szCs w:val="28"/>
        </w:rPr>
        <w:t xml:space="preserve">12Б </w:t>
      </w:r>
      <w:r w:rsidRPr="00D34EC5">
        <w:rPr>
          <w:szCs w:val="28"/>
        </w:rPr>
        <w:t xml:space="preserve">  по ул. Мира г. Нижневартовска</w:t>
      </w:r>
      <w:r w:rsidRPr="004964FB">
        <w:rPr>
          <w:szCs w:val="28"/>
        </w:rPr>
        <w:t>.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движения, если он запрещен Правилами дорожного движения РФ и за нег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установлена ответственность ч.3 ст.12.15 КоАП РФ.</w:t>
      </w:r>
    </w:p>
    <w:p w:rsidR="009F1D64" w:rsidRPr="00D34EC5" w:rsidP="009F1D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ва, отягчающие административную ответственность.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9F1D64" w:rsidRPr="00D34EC5" w:rsidP="009F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средство не оказалось на стороне встречного движения.</w:t>
      </w:r>
    </w:p>
    <w:p w:rsidR="009F1D64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Савюк С.А.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F1D64" w:rsidRPr="00D34EC5" w:rsidP="009F1D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F1D64" w:rsidRPr="00D34EC5" w:rsidP="009F1D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Савюк С.А.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ушении. Оценивая доказательства в их совокупности, мировой судья квалифицирует его действия по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ч. 4 ст. 12.15 Кодекса Российской Федерации об административных правонарушениях.</w:t>
      </w:r>
    </w:p>
    <w:p w:rsidR="009F1D64" w:rsidRPr="00D34EC5" w:rsidP="009F1D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обстоятельству, смягчающему административную ответственность, предусмотренных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РФ, мировой судья относит: признание вины.</w:t>
      </w:r>
    </w:p>
    <w:p w:rsidR="009F1D64" w:rsidRPr="00D34EC5" w:rsidP="009F1D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EC5">
        <w:rPr>
          <w:rFonts w:ascii="Times New Roman" w:hAnsi="Times New Roman" w:cs="Times New Roman"/>
          <w:sz w:val="28"/>
          <w:szCs w:val="28"/>
        </w:rPr>
        <w:t xml:space="preserve">Из реестра административных правонарушений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Савюк С.А. </w:t>
      </w:r>
      <w:r w:rsidRPr="00D34EC5">
        <w:rPr>
          <w:rFonts w:ascii="Times New Roman" w:hAnsi="Times New Roman" w:cs="Times New Roman"/>
          <w:sz w:val="28"/>
          <w:szCs w:val="28"/>
        </w:rPr>
        <w:t>в течение года неоднократно привлекал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4EC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нарушение Правил дорожного движения, то есть за однород</w:t>
      </w:r>
      <w:r w:rsidRPr="00D34EC5">
        <w:rPr>
          <w:rFonts w:ascii="Times New Roman" w:hAnsi="Times New Roman" w:cs="Times New Roman"/>
          <w:sz w:val="28"/>
          <w:szCs w:val="28"/>
        </w:rPr>
        <w:t xml:space="preserve">ные правонарушения, что в соответствии со ст. 4.3 КоАП РФ является обстоятельством, отягчающим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E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наличие  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отягчающих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D34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приходит к выводу, что наказание возможно назначи</w:t>
      </w:r>
      <w:r w:rsidRPr="00D34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штрафа.</w:t>
      </w:r>
      <w:r w:rsidRPr="00D34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9F1D64" w:rsidRPr="00D34EC5" w:rsidP="009F1D6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F1D64" w:rsidRPr="00D34EC5" w:rsidP="009F1D6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F1D64" w:rsidRPr="00D34EC5" w:rsidP="009F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9F1D64" w:rsidRPr="00D34EC5" w:rsidP="009F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F1D64" w:rsidRPr="00D34EC5" w:rsidP="009F1D6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Савюк Сергея Анатольевича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ым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совершении административного правонар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5 000 (пяти тысяч) рублей.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-Мансийскому автономному округу – Югре (УМВД России по Ханты-Мансийскому автономному округу - Югре), 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КПП 860101001, ИНН 8601010390, БИК УФК 007162163, Единый казначейский расчетный счет 40102810245370000007, номер казначейского счета 03100643000000018700, 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Банк РКЦ Ханты-Мансийск//УФК по Ханты-Мансийскому автономному округу-Югре г. Ханты-Мансийск,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18811601123010001140, ОКТМО 71875000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УИН 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188104862</w:t>
      </w:r>
      <w:r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4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05</w:t>
      </w:r>
      <w:r w:rsidR="00762BEF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290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.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9F1D64" w:rsidRPr="00D34EC5" w:rsidP="009F1D6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РФ об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административных правонарушениях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F1D64" w:rsidRPr="00D34EC5" w:rsidP="009F1D6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данного постановления, административный штраф может быть уплачен в размере половины суммы наложенного административного штрафа,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 есть в размере </w:t>
      </w:r>
      <w:r w:rsidRPr="00D34EC5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 xml:space="preserve">2500 (двух тысяч пятисот)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D64" w:rsidRPr="00D34EC5" w:rsidP="009F1D6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D64" w:rsidRPr="00D34EC5" w:rsidP="009F1D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влечет привлечение к 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9F1D64" w:rsidRPr="00D34EC5" w:rsidP="009F1D6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D64" w:rsidRPr="00D34EC5" w:rsidP="009F1D64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9F1D64" w:rsidRPr="00D34EC5" w:rsidP="009F1D64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 О.В.Вдовина</w:t>
      </w:r>
    </w:p>
    <w:p w:rsidR="009F1D64" w:rsidRPr="00D34EC5" w:rsidP="009F1D64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9F1D64" w:rsidP="009F1D64"/>
    <w:p w:rsidR="009F1D64" w:rsidP="009F1D64"/>
    <w:p w:rsidR="009F1D64" w:rsidP="009F1D64"/>
    <w:p w:rsidR="009F1D64" w:rsidP="009F1D64"/>
    <w:p w:rsidR="009F1D64" w:rsidP="009F1D64"/>
    <w:p w:rsidR="0047724E"/>
    <w:sectPr w:rsidSect="00C81AAB">
      <w:headerReference w:type="even" r:id="rId11"/>
      <w:headerReference w:type="default" r:id="rId12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248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64"/>
    <w:rsid w:val="001E007E"/>
    <w:rsid w:val="0047724E"/>
    <w:rsid w:val="004964FB"/>
    <w:rsid w:val="00510DC6"/>
    <w:rsid w:val="0058014D"/>
    <w:rsid w:val="00762BEF"/>
    <w:rsid w:val="007B7B4A"/>
    <w:rsid w:val="00806F71"/>
    <w:rsid w:val="009F1D64"/>
    <w:rsid w:val="00D34EC5"/>
    <w:rsid w:val="00D72D79"/>
    <w:rsid w:val="00E55248"/>
    <w:rsid w:val="00EF47EF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3A9D86-8A20-4A97-906A-58A722A4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D6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F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F1D64"/>
    <w:rPr>
      <w:szCs w:val="22"/>
      <w:lang w:bidi="ar-SA"/>
    </w:rPr>
  </w:style>
  <w:style w:type="character" w:styleId="PageNumber">
    <w:name w:val="page number"/>
    <w:basedOn w:val="DefaultParagraphFont"/>
    <w:rsid w:val="009F1D64"/>
  </w:style>
  <w:style w:type="paragraph" w:styleId="BodyTextIndent">
    <w:name w:val="Body Text Indent"/>
    <w:basedOn w:val="Normal"/>
    <w:link w:val="a0"/>
    <w:rsid w:val="009F1D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9F1D64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